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Муниципальное образовательное учреждение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средняя общеобразовательная школа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«Мышкинский образовательный комплекс»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</w:rPr>
        <w:t>УТВЕРЖДАЮ</w:t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И.о. директора __________ Мирошниченко М.Н.</w:t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                        </w:t>
      </w:r>
      <w:r>
        <w:rPr>
          <w:rFonts w:cs="Times New Roman" w:ascii="Times New Roman" w:hAnsi="Times New Roman"/>
        </w:rPr>
        <w:t>Приказ от 28.0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>.2026г. № __288_______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/>
        <w:t xml:space="preserve">      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Выписка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из основной образовательной программы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среднего общего образования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План внеурочной деятельности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на 2026-2027 учебный год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right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Выписка верна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Normal"/>
        <w:spacing w:lineRule="auto" w:line="276" w:before="0" w:after="6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lineRule="auto" w:line="276" w:before="0" w:after="60"/>
        <w:jc w:val="center"/>
        <w:rPr/>
      </w:pPr>
      <w:r>
        <w:rPr>
          <w:b/>
          <w:bCs/>
          <w:sz w:val="30"/>
          <w:szCs w:val="30"/>
        </w:rPr>
        <w:t>План внеурочной деятельности СОО по ФОП</w:t>
      </w:r>
    </w:p>
    <w:p>
      <w:pPr>
        <w:pStyle w:val="Normal"/>
        <w:spacing w:lineRule="auto" w:line="276" w:before="0" w:after="240"/>
        <w:jc w:val="center"/>
        <w:rPr/>
      </w:pPr>
      <w:r>
        <w:rPr/>
        <w:t>на 2026/27 учебный год (уровень среднего общего образования, 10–11 классы)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Пояснительная записка</w:t>
      </w:r>
    </w:p>
    <w:p>
      <w:pPr>
        <w:pStyle w:val="Normal"/>
        <w:spacing w:lineRule="auto" w:line="276" w:before="0" w:after="100"/>
        <w:jc w:val="both"/>
        <w:rPr/>
      </w:pPr>
      <w:r>
        <w:rPr/>
        <w:t>План внеурочной деятельности является структурным элементом основной образовательной программы среднего общего образования (ООП СОО). Разработан на основе: ФГОС СОО (утв. приказом Минобрнауки России от 17.05.2012 № 413, в действующей редакции); ФОП СОО (утв. приказом Минпросвещения России от 18.05.2023 № 371, с изм. от 08.10.2025 № 729); СанПиН 1.2.3685-21; СП 2.4.2.4283-26.</w:t>
      </w:r>
    </w:p>
    <w:p>
      <w:pPr>
        <w:pStyle w:val="Normal"/>
        <w:spacing w:lineRule="auto" w:line="276" w:before="0" w:after="100"/>
        <w:jc w:val="both"/>
        <w:rPr/>
      </w:pPr>
      <w:r>
        <w:rPr/>
        <w:t>Структура плана (п. 133 ФОП СОО): план состоит из двух частей — плана организации деятельности ученических сообществ (инвариантный компонент, единый для всех профилей, и вариативный компонент, модифицируемый по профилям обучения) и плана реализации курсов внеурочной деятельности по выбору обучающихся. Вариативный компонент конкретизируется по полугодиям и каникулярным периодам.</w:t>
      </w:r>
    </w:p>
    <w:p>
      <w:pPr>
        <w:pStyle w:val="Normal"/>
        <w:spacing w:lineRule="auto" w:line="276" w:before="0" w:after="100"/>
        <w:jc w:val="both"/>
        <w:rPr/>
      </w:pPr>
      <w:r>
        <w:rPr/>
        <w:t>Профили обучения: естественно-научный, гуманитарный, социально-экономический, технологический, агротехнологический, универсальный (п. 133.12 ФОП СОО).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Объём и нагрузка</w:t>
      </w:r>
    </w:p>
    <w:p>
      <w:pPr>
        <w:pStyle w:val="ListParagraph"/>
        <w:numPr>
          <w:ilvl w:val="0"/>
          <w:numId w:val="3"/>
        </w:numPr>
        <w:spacing w:lineRule="auto" w:line="276" w:before="0" w:after="60"/>
        <w:jc w:val="both"/>
        <w:rPr/>
      </w:pPr>
      <w:r>
        <w:rPr/>
        <w:t>общий объём внеурочной деятельности за 2 года обучения — не более 700 академических часов (п. 18.3.2 ФГОС СОО, п. 133.5 ФОП СОО);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недельный объём — не более 10 часов на одного обучающегося; часы определяются за пределами количества часов учебного плана;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до 50 % часов можно перенести на каникулярное время (профессиональные пробы, социальные практики, исследовательские экспедиции, туристические походы, «зрительский марафон»);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продолжительность одного занятия — до 40 минут.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Обязательные занятия и ключевые формы</w:t>
      </w:r>
    </w:p>
    <w:p>
      <w:pPr>
        <w:pStyle w:val="Normal"/>
        <w:spacing w:lineRule="auto" w:line="276" w:before="0" w:after="100"/>
        <w:jc w:val="both"/>
        <w:rPr/>
      </w:pPr>
      <w:r>
        <w:rPr/>
        <w:t>Обязательные занятия: «Разговоры о важном» (1 час в неделю, 10–11 классы); профориентационный курс «Россия — мои горизонты» (1 час в неделю, 10–11 классы; рекомендуемый день — четверг; «</w:t>
      </w:r>
      <w:r>
        <w:rPr>
          <w:rFonts w:eastAsia="Calibri"/>
        </w:rPr>
        <w:t>Искусственный интеллект и информационная безопасность» (1 час в неделю, 10-11 классы).</w:t>
      </w:r>
      <w:bookmarkStart w:id="0" w:name="_GoBack"/>
      <w:bookmarkEnd w:id="0"/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Связь с программой воспитания и сетевое взаимодействие</w:t>
      </w:r>
    </w:p>
    <w:p>
      <w:pPr>
        <w:pStyle w:val="Normal"/>
        <w:spacing w:lineRule="auto" w:line="276" w:before="0" w:after="100"/>
        <w:jc w:val="both"/>
        <w:rPr/>
      </w:pPr>
      <w:r>
        <w:rPr/>
        <w:t xml:space="preserve">Каждая содержательная линия плана соотнесена с целевыми ориентирами рабочей программы воспитания. </w:t>
      </w:r>
    </w:p>
    <w:p>
      <w:pPr>
        <w:pStyle w:val="Normal"/>
        <w:spacing w:lineRule="auto" w:line="276" w:before="0" w:after="100"/>
        <w:jc w:val="both"/>
        <w:rPr/>
      </w:pPr>
      <w:r>
        <w:rPr/>
        <w:t>Календарно-тематическое планирование курсов синхронизируется с датами календарного плана воспитательной работы. Участие в проектах «Движения первых» («Зарница 2.0», «Хранители истории», «Благо твори» и др.) реализуется через продукты соответствующих курсов, а не как отдельные механические активности.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sectPr>
          <w:type w:val="nextPage"/>
          <w:pgSz w:w="11906" w:h="16838"/>
          <w:pgMar w:left="1276" w:right="1134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/>
      </w:pPr>
      <w:r>
        <w:rPr/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jc w:val="center"/>
        <w:rPr/>
      </w:pPr>
      <w:r>
        <w:rPr>
          <w:b/>
          <w:bCs/>
        </w:rPr>
        <w:t>План внеурочной деятельности СОО    ЦО _Мышкинская школа________________</w:t>
      </w:r>
    </w:p>
    <w:p>
      <w:pPr>
        <w:pStyle w:val="Normal"/>
        <w:spacing w:before="0" w:after="100"/>
        <w:rPr>
          <w:sz w:val="20"/>
          <w:szCs w:val="20"/>
        </w:rPr>
      </w:pPr>
      <w:r>
        <w:rPr>
          <w:b/>
          <w:bCs/>
          <w:sz w:val="20"/>
          <w:szCs w:val="20"/>
        </w:rPr>
        <w:t>Часть 1. План организации деятельности ученических сообществ</w:t>
      </w:r>
    </w:p>
    <w:tbl>
      <w:tblPr>
        <w:tblW w:w="10485" w:type="dxa"/>
        <w:jc w:val="left"/>
        <w:tblInd w:w="8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5381"/>
        <w:gridCol w:w="3827"/>
        <w:gridCol w:w="709"/>
        <w:gridCol w:w="567"/>
      </w:tblGrid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Направление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Название курса / объединения, форма организации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кл.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 кл.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ИНВАРИАНТНЫЙ КОМПОНЕНТ (обязателен для всех профилей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82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Беседа «Разговоры о важном» (понедельник)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Strong"/>
                <w:rFonts w:cs="Times New Roman" w:ascii="Times New Roman" w:hAnsi="Times New Roman"/>
                <w:color w:val="333333"/>
                <w:sz w:val="16"/>
                <w:szCs w:val="16"/>
                <w:shd w:fill="FFFFFF" w:val="clear"/>
              </w:rPr>
              <w:t>Профориентационное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Курс «Россия — мои горизонты» (по четвергам)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Формирование финансовой грамотности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Социальное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Курс «ИИ и ИБ» (со 2 полугодия)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0/1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0/1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16"/>
                <w:szCs w:val="16"/>
                <w:lang w:eastAsia="ru-RU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ВАРИАТИВНЫЙ КОМПОНЕНТ — Технологический профиль</w:t>
            </w:r>
          </w:p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Курсы, поддерживающие профильное обучение и углубленное изучение предметов</w:t>
            </w:r>
          </w:p>
        </w:tc>
        <w:tc>
          <w:tcPr>
            <w:tcW w:w="382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Общеинтеллектуальное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Социальное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Общекультурное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ВАРИАТИВНЫЙ КОМПОНЕНТ — Универсальный профиль</w:t>
            </w:r>
          </w:p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Курсы, поддерживающие профильное обучение и углубленное изучение предметов</w:t>
            </w:r>
          </w:p>
        </w:tc>
        <w:tc>
          <w:tcPr>
            <w:tcW w:w="382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Общеинтеллектуальное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Цикл экскурсий в творческих группах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</w:tr>
      <w:tr>
        <w:trPr>
          <w:trHeight w:val="308" w:hRule="atLeast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Социальное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Профессиональные пробы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Спортивно-оздоровительное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Туристические походы (каникулы)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0,5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Общекультурное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Часть 2. План реализации курсов внеурочной деятельности по выбору обучающихся</w:t>
      </w:r>
    </w:p>
    <w:tbl>
      <w:tblPr>
        <w:tblW w:w="10485" w:type="dxa"/>
        <w:jc w:val="left"/>
        <w:tblInd w:w="8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5381"/>
        <w:gridCol w:w="3827"/>
        <w:gridCol w:w="709"/>
        <w:gridCol w:w="567"/>
      </w:tblGrid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Название курса / объединения, форма организации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 кл.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 кл.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Технологический профиль</w:t>
            </w:r>
          </w:p>
        </w:tc>
        <w:tc>
          <w:tcPr>
            <w:tcW w:w="382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 Географическая грамотность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Универсальный профиль</w:t>
            </w:r>
          </w:p>
        </w:tc>
        <w:tc>
          <w:tcPr>
            <w:tcW w:w="382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9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 Географическая грамотность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</w:tr>
      <w:tr>
        <w:trPr/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Итого: недельный объём — 5_ ч (10 и 11 классы); за год — 170__ч; за два года — _340_ ч (не более 680 ч).</w:t>
      </w:r>
    </w:p>
    <w:p>
      <w:pPr>
        <w:pStyle w:val="Normal"/>
        <w:spacing w:before="0" w:after="1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«Мышкинская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e"/>
        <w:tblW w:w="1048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4"/>
        <w:gridCol w:w="1641"/>
        <w:gridCol w:w="5557"/>
        <w:gridCol w:w="1416"/>
        <w:gridCol w:w="1277"/>
      </w:tblGrid>
      <w:tr>
        <w:trPr/>
        <w:tc>
          <w:tcPr>
            <w:tcW w:w="594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641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5557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41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277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внеделю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555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10-11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 час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«Россия-мои горизонты»</w:t>
            </w:r>
          </w:p>
        </w:tc>
        <w:tc>
          <w:tcPr>
            <w:tcW w:w="555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0"/>
                <w:sz w:val="18"/>
                <w:szCs w:val="18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10-11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555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10-11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 час со 2 полугодия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Географическая грамотность</w:t>
            </w:r>
          </w:p>
        </w:tc>
        <w:tc>
          <w:tcPr>
            <w:tcW w:w="555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Его главная цель — помочь школьникам успешно систематизировать знания, отработать сложные моменты и психологически подготовиться к экзамену. Важно: такой курс </w:t>
            </w:r>
            <w:r>
              <w:rPr>
                <w:rStyle w:val="Strong"/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не заменяет</w:t>
            </w: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 обычные уроки географии, а дополняет и корректирует их.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</w:tr>
    </w:tbl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rPr/>
      </w:pPr>
      <w:r>
        <w:rPr>
          <w:b/>
          <w:bCs/>
          <w:sz w:val="26"/>
          <w:szCs w:val="26"/>
        </w:rPr>
        <w:t>План внеурочной деятельности СОО    ЦО «Рождественская школа»</w:t>
      </w:r>
    </w:p>
    <w:p>
      <w:pPr>
        <w:pStyle w:val="Normal"/>
        <w:spacing w:before="0" w:after="100"/>
        <w:rPr>
          <w:sz w:val="20"/>
          <w:szCs w:val="20"/>
        </w:rPr>
      </w:pPr>
      <w:r>
        <w:rPr>
          <w:b/>
          <w:bCs/>
          <w:sz w:val="20"/>
          <w:szCs w:val="20"/>
        </w:rPr>
        <w:t>Часть 1. План организации деятельности ученических сообществ</w:t>
      </w:r>
    </w:p>
    <w:tbl>
      <w:tblPr>
        <w:tblW w:w="10500" w:type="dxa"/>
        <w:jc w:val="left"/>
        <w:tblInd w:w="7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5964"/>
        <w:gridCol w:w="2835"/>
        <w:gridCol w:w="850"/>
        <w:gridCol w:w="850"/>
      </w:tblGrid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Направление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Название курса / объединения, форма организации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кл.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 кл.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ИНВАРИАНТНЫЙ КОМПОНЕНТ (обязателен для всех профилей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Беседа «Разговоры о важном»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Strong"/>
                <w:rFonts w:cs="Times New Roman" w:ascii="Times New Roman" w:hAnsi="Times New Roman"/>
                <w:color w:val="333333"/>
                <w:sz w:val="16"/>
                <w:szCs w:val="16"/>
                <w:shd w:fill="FFFFFF" w:val="clear"/>
              </w:rPr>
              <w:t>Профориентационное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Курс «Россия — мои горизонты» (по четвергам)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Формирование финансовой грамотности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Социальное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ИИ и ИБ( -) со 2 полугодия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0/1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16"/>
                <w:szCs w:val="16"/>
                <w:lang w:eastAsia="ru-RU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ВАРИАТИВНЫЙ КОМПОНЕНТ — Технологический профиль</w:t>
            </w:r>
          </w:p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Курсы, поддерживающие профильное обучение и углубленное изучение предметов</w:t>
            </w:r>
          </w:p>
        </w:tc>
        <w:tc>
          <w:tcPr>
            <w:tcW w:w="283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Общеинтеллектуальное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Социальное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Общекультурное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ВАРИАТИВНЫЙ КОМПОНЕНТ — Универсальный профиль</w:t>
            </w:r>
          </w:p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Курсы, поддерживающие профильное обучение и углубленное изучение предметов</w:t>
            </w:r>
          </w:p>
        </w:tc>
        <w:tc>
          <w:tcPr>
            <w:tcW w:w="283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Общеинтеллектуальное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Общеинтеллектуальное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Цикл экскурсий в творческих группах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Социальное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Профессиональные пробы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Спортивно-оздоровительное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Туристические походы (каникулы)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0,5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Общекультурное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-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Часть 2. План реализации курсов внеурочной деятельности по выбору обучающихся</w:t>
      </w:r>
    </w:p>
    <w:tbl>
      <w:tblPr>
        <w:tblW w:w="10500" w:type="dxa"/>
        <w:jc w:val="left"/>
        <w:tblInd w:w="7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5964"/>
        <w:gridCol w:w="2835"/>
        <w:gridCol w:w="850"/>
        <w:gridCol w:w="850"/>
      </w:tblGrid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Название курса / объединения, форма организации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 кл.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 кл.</w:t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Технологический профиль</w:t>
            </w:r>
          </w:p>
        </w:tc>
        <w:tc>
          <w:tcPr>
            <w:tcW w:w="283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CE4D6" w:val="clear"/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Универсальный профиль</w:t>
            </w:r>
          </w:p>
        </w:tc>
        <w:tc>
          <w:tcPr>
            <w:tcW w:w="283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Итого: недельный объём — 3 ч и 3 ч  (10 и 11 классы); за год — 102ч; за два года — 204 ч (не более 680 ч).</w:t>
      </w:r>
    </w:p>
    <w:p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«Рождественская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e"/>
        <w:tblW w:w="105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4"/>
        <w:gridCol w:w="1641"/>
        <w:gridCol w:w="5528"/>
        <w:gridCol w:w="1276"/>
        <w:gridCol w:w="1559"/>
      </w:tblGrid>
      <w:tr>
        <w:trPr/>
        <w:tc>
          <w:tcPr>
            <w:tcW w:w="594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641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5528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27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559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 неделю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10-11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 час</w:t>
            </w:r>
          </w:p>
        </w:tc>
      </w:tr>
      <w:tr>
        <w:trPr>
          <w:trHeight w:val="1160" w:hRule="atLeast"/>
        </w:trPr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«Россия - мои горизонты»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10-11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  <w:tr>
        <w:trPr>
          <w:trHeight w:val="1290" w:hRule="atLeast"/>
        </w:trPr>
        <w:tc>
          <w:tcPr>
            <w:tcW w:w="5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10-11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1час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(2 полугодие)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sectPr>
      <w:type w:val="nextPage"/>
      <w:pgSz w:w="11906" w:h="16838"/>
      <w:pgMar w:left="1000" w:right="1000" w:gutter="0" w:header="0" w:top="1000" w:footer="0" w:bottom="100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pPr>
      <w:widowControl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ru-RU" w:eastAsia="ru-RU" w:bidi="ar-SA"/>
    </w:rPr>
  </w:style>
  <w:style w:type="paragraph" w:styleId="Heading2">
    <w:name w:val="Heading 2"/>
    <w:uiPriority w:val="9"/>
    <w:semiHidden/>
    <w:unhideWhenUsed/>
    <w:qFormat/>
    <w:pPr>
      <w:widowControl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uiPriority w:val="99"/>
    <w:semiHidden/>
    <w:unhideWhenUsed/>
    <w:qFormat/>
    <w:rPr>
      <w:sz w:val="20"/>
      <w:szCs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Текст концевой сноски Знак"/>
    <w:uiPriority w:val="99"/>
    <w:semiHidden/>
    <w:unhideWhenUsed/>
    <w:qFormat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d373da"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ru-RU" w:eastAsia="ru-RU" w:bidi="ar-SA"/>
    </w:rPr>
  </w:style>
  <w:style w:type="paragraph" w:styleId="1" w:customStyle="1">
    <w:name w:val="Строгий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FootnoteText">
    <w:name w:val="Footnote Text"/>
    <w:link w:val="Style9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EndnoteText">
    <w:name w:val="Endnote Text"/>
    <w:link w:val="Style11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d373d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576d2f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d373da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LibreOffice/7.6.4.1$Windows_X86_64 LibreOffice_project/e19e193f88cd6c0525a17fb7a176ed8e6a3e2aa1</Application>
  <AppVersion>15.0000</AppVersion>
  <Pages>6</Pages>
  <Words>1023</Words>
  <Characters>7509</Characters>
  <CharactersWithSpaces>8532</CharactersWithSpaces>
  <Paragraphs>191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2026-07-12T21:00:00Z</dcterms:created>
  <dc:creator>АНО «НОЦ педагогических проектов»; педпроект.рф</dc:creator>
  <dc:description/>
  <dc:language>ru-RU</dc:language>
  <cp:lastModifiedBy/>
  <dcterms:modified xsi:type="dcterms:W3CDTF">2026-10-19T10:40:12Z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